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5C89" w:rsidRPr="00A57491" w:rsidRDefault="003D5C89" w:rsidP="003D5C89">
      <w:pPr>
        <w:spacing w:after="0" w:line="240" w:lineRule="auto"/>
        <w:rPr>
          <w:rFonts w:ascii="Calibri" w:eastAsia="Calibri" w:hAnsi="Calibri" w:cs="Times New Roman"/>
          <w:sz w:val="28"/>
          <w:szCs w:val="28"/>
        </w:rPr>
      </w:pPr>
      <w:r w:rsidRPr="00A57491">
        <w:rPr>
          <w:rFonts w:ascii="Calibri" w:eastAsia="Calibri" w:hAnsi="Calibri" w:cs="Times New Roman"/>
          <w:sz w:val="28"/>
          <w:szCs w:val="28"/>
        </w:rPr>
        <w:t xml:space="preserve">Объединение «Скалолазание и тур многоборье» </w:t>
      </w:r>
    </w:p>
    <w:p w:rsidR="003D5C89" w:rsidRPr="00A57491" w:rsidRDefault="003D5C89" w:rsidP="003D5C89">
      <w:pPr>
        <w:spacing w:after="0" w:line="240" w:lineRule="auto"/>
        <w:rPr>
          <w:rFonts w:ascii="Calibri" w:eastAsia="Calibri" w:hAnsi="Calibri" w:cs="Times New Roman"/>
          <w:sz w:val="28"/>
          <w:szCs w:val="28"/>
        </w:rPr>
      </w:pPr>
      <w:r>
        <w:rPr>
          <w:rFonts w:ascii="Calibri" w:eastAsia="Calibri" w:hAnsi="Calibri" w:cs="Times New Roman"/>
          <w:sz w:val="28"/>
          <w:szCs w:val="28"/>
        </w:rPr>
        <w:t>2</w:t>
      </w:r>
      <w:r w:rsidRPr="00A57491">
        <w:rPr>
          <w:rFonts w:ascii="Calibri" w:eastAsia="Calibri" w:hAnsi="Calibri" w:cs="Times New Roman"/>
          <w:sz w:val="28"/>
          <w:szCs w:val="28"/>
        </w:rPr>
        <w:t>-ый год обучения</w:t>
      </w:r>
      <w:r w:rsidR="000D38B5">
        <w:rPr>
          <w:rFonts w:ascii="Calibri" w:eastAsia="Calibri" w:hAnsi="Calibri" w:cs="Times New Roman"/>
          <w:sz w:val="28"/>
          <w:szCs w:val="28"/>
        </w:rPr>
        <w:t xml:space="preserve">           12</w:t>
      </w:r>
      <w:r>
        <w:rPr>
          <w:rFonts w:ascii="Calibri" w:eastAsia="Calibri" w:hAnsi="Calibri" w:cs="Times New Roman"/>
          <w:sz w:val="28"/>
          <w:szCs w:val="28"/>
        </w:rPr>
        <w:t>.04</w:t>
      </w:r>
      <w:r w:rsidR="000D38B5">
        <w:rPr>
          <w:rFonts w:ascii="Calibri" w:eastAsia="Calibri" w:hAnsi="Calibri" w:cs="Times New Roman"/>
          <w:sz w:val="28"/>
          <w:szCs w:val="28"/>
        </w:rPr>
        <w:t>.</w:t>
      </w:r>
      <w:bookmarkStart w:id="0" w:name="_GoBack"/>
      <w:bookmarkEnd w:id="0"/>
      <w:r>
        <w:rPr>
          <w:rFonts w:ascii="Calibri" w:eastAsia="Calibri" w:hAnsi="Calibri" w:cs="Times New Roman"/>
          <w:sz w:val="28"/>
          <w:szCs w:val="28"/>
        </w:rPr>
        <w:t xml:space="preserve"> 2020</w:t>
      </w:r>
    </w:p>
    <w:p w:rsidR="003D5C89" w:rsidRDefault="003D5C89" w:rsidP="003D5C89">
      <w:pPr>
        <w:spacing w:after="0" w:line="240" w:lineRule="auto"/>
        <w:rPr>
          <w:rFonts w:ascii="Times New Roman" w:hAnsi="Times New Roman" w:cs="Times New Roman"/>
          <w:sz w:val="24"/>
          <w:szCs w:val="24"/>
        </w:rPr>
      </w:pPr>
      <w:r w:rsidRPr="00A57491">
        <w:rPr>
          <w:rFonts w:ascii="Calibri" w:eastAsia="Calibri" w:hAnsi="Calibri" w:cs="Times New Roman"/>
          <w:sz w:val="28"/>
          <w:szCs w:val="28"/>
        </w:rPr>
        <w:t xml:space="preserve">ПДО Рябова Н.И. </w:t>
      </w:r>
    </w:p>
    <w:p w:rsidR="003D5C89" w:rsidRDefault="003D5C89" w:rsidP="003D5C89">
      <w:pPr>
        <w:rPr>
          <w:rFonts w:ascii="Times New Roman" w:hAnsi="Times New Roman" w:cs="Times New Roman"/>
          <w:sz w:val="24"/>
          <w:szCs w:val="24"/>
        </w:rPr>
      </w:pPr>
      <w:r w:rsidRPr="00A57491">
        <w:rPr>
          <w:rFonts w:ascii="Times New Roman" w:hAnsi="Times New Roman" w:cs="Times New Roman"/>
          <w:sz w:val="24"/>
          <w:szCs w:val="24"/>
        </w:rPr>
        <w:t>Тема:</w:t>
      </w:r>
      <w:r>
        <w:rPr>
          <w:rFonts w:ascii="Times New Roman" w:hAnsi="Times New Roman" w:cs="Times New Roman"/>
          <w:sz w:val="24"/>
          <w:szCs w:val="24"/>
        </w:rPr>
        <w:t xml:space="preserve"> Подготовка снаряжения связки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Организация </w:t>
      </w:r>
      <w:r w:rsidR="000D38B5">
        <w:rPr>
          <w:rFonts w:ascii="Times New Roman" w:hAnsi="Times New Roman" w:cs="Times New Roman"/>
          <w:sz w:val="24"/>
          <w:szCs w:val="24"/>
        </w:rPr>
        <w:t>страховки.</w:t>
      </w:r>
    </w:p>
    <w:tbl>
      <w:tblPr>
        <w:tblW w:w="0" w:type="auto"/>
        <w:tblCellMar>
          <w:left w:w="0" w:type="dxa"/>
          <w:right w:w="0" w:type="dxa"/>
        </w:tblCellMar>
        <w:tblLook w:val="04A0" w:firstRow="1" w:lastRow="0" w:firstColumn="1" w:lastColumn="0" w:noHBand="0" w:noVBand="1"/>
      </w:tblPr>
      <w:tblGrid>
        <w:gridCol w:w="9571"/>
      </w:tblGrid>
      <w:tr w:rsidR="000D38B5" w:rsidRPr="000D38B5" w:rsidTr="000D38B5">
        <w:tc>
          <w:tcPr>
            <w:tcW w:w="9571" w:type="dxa"/>
            <w:tcBorders>
              <w:top w:val="nil"/>
              <w:left w:val="nil"/>
              <w:bottom w:val="nil"/>
              <w:right w:val="nil"/>
            </w:tcBorders>
            <w:tcMar>
              <w:top w:w="0" w:type="dxa"/>
              <w:left w:w="108" w:type="dxa"/>
              <w:bottom w:w="0" w:type="dxa"/>
              <w:right w:w="108" w:type="dxa"/>
            </w:tcMar>
            <w:hideMark/>
          </w:tcPr>
          <w:tbl>
            <w:tblPr>
              <w:tblW w:w="0" w:type="auto"/>
              <w:tblCellMar>
                <w:left w:w="0" w:type="dxa"/>
                <w:right w:w="0" w:type="dxa"/>
              </w:tblCellMar>
              <w:tblLook w:val="04A0" w:firstRow="1" w:lastRow="0" w:firstColumn="1" w:lastColumn="0" w:noHBand="0" w:noVBand="1"/>
            </w:tblPr>
            <w:tblGrid>
              <w:gridCol w:w="9355"/>
            </w:tblGrid>
            <w:tr w:rsidR="000D38B5" w:rsidRPr="000D38B5" w:rsidTr="000D38B5">
              <w:tc>
                <w:tcPr>
                  <w:tcW w:w="9571" w:type="dxa"/>
                  <w:tcBorders>
                    <w:top w:val="nil"/>
                    <w:left w:val="nil"/>
                    <w:bottom w:val="nil"/>
                    <w:right w:val="nil"/>
                  </w:tcBorders>
                  <w:tcMar>
                    <w:top w:w="0" w:type="dxa"/>
                    <w:left w:w="108" w:type="dxa"/>
                    <w:bottom w:w="0" w:type="dxa"/>
                    <w:right w:w="108" w:type="dxa"/>
                  </w:tcMar>
                  <w:hideMark/>
                </w:tcPr>
                <w:p w:rsid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t>Как только передвижение по горному рельефу становится опасным, альпинисты связываются при помощи веревки по 2—3 человека и осуществляют взаимную страховку. Движение партнеров по связке предусматривает высокий уровень согласованных действий. Возникновение опасности для одного из партнеров должно тут же компенсироваться соответствующими действиями товарища, вплоть до удержания его при срыве связывающей их веревкой.</w:t>
                  </w:r>
                </w:p>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br/>
                    <w:t>В зависимости от порядка движения и расположения партнеров по связке различают страховку одновременную, когда партнеры по связке двигаются одновременно (рис. 26), и попеременную, когда один из партнеров движется, а товарищ страхует его</w:t>
                  </w:r>
                </w:p>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t>(рис. 27). Выйдя наверх и страхуя сверху своего напарника, альпинист производит верхнюю страховку (рис. 28, 29, 30). В начале движения лидера связки наверх остающийся внизу осуществляет нижнюю страховку (рис. 31).</w:t>
                  </w:r>
                </w:p>
              </w:tc>
            </w:tr>
          </w:tbl>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noProof/>
                <w:color w:val="000000"/>
                <w:sz w:val="27"/>
                <w:szCs w:val="27"/>
                <w:lang w:eastAsia="ru-RU"/>
              </w:rPr>
              <w:drawing>
                <wp:inline distT="0" distB="0" distL="0" distR="0" wp14:anchorId="5E386F6E" wp14:editId="3617AA4D">
                  <wp:extent cx="5438775" cy="6130278"/>
                  <wp:effectExtent l="0" t="0" r="0" b="4445"/>
                  <wp:docPr id="2" name="Рисунок 2" descr="https://sinref.ru/000_uchebniki/05000sport/003_shkola_alpinizma_zaharov_stepenko_1989/00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inref.ru/000_uchebniki/05000sport/003_shkola_alpinizma_zaharov_stepenko_1989/000/02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49664" cy="6142552"/>
                          </a:xfrm>
                          <a:prstGeom prst="rect">
                            <a:avLst/>
                          </a:prstGeom>
                          <a:noFill/>
                          <a:ln>
                            <a:noFill/>
                          </a:ln>
                        </pic:spPr>
                      </pic:pic>
                    </a:graphicData>
                  </a:graphic>
                </wp:inline>
              </w:drawing>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lastRenderedPageBreak/>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noProof/>
                <w:color w:val="000000"/>
                <w:sz w:val="27"/>
                <w:szCs w:val="27"/>
                <w:lang w:eastAsia="ru-RU"/>
              </w:rPr>
              <w:drawing>
                <wp:inline distT="0" distB="0" distL="0" distR="0" wp14:anchorId="5F70F3A8" wp14:editId="0B406C72">
                  <wp:extent cx="4086225" cy="4757533"/>
                  <wp:effectExtent l="0" t="0" r="0" b="5080"/>
                  <wp:docPr id="3" name="Рисунок 3" descr="https://sinref.ru/000_uchebniki/05000sport/003_shkola_alpinizma_zaharov_stepenko_1989/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nref.ru/000_uchebniki/05000sport/003_shkola_alpinizma_zaharov_stepenko_1989/000/02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5995" cy="4757265"/>
                          </a:xfrm>
                          <a:prstGeom prst="rect">
                            <a:avLst/>
                          </a:prstGeom>
                          <a:noFill/>
                          <a:ln>
                            <a:noFill/>
                          </a:ln>
                        </pic:spPr>
                      </pic:pic>
                    </a:graphicData>
                  </a:graphic>
                </wp:inline>
              </w:drawing>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noProof/>
                <w:color w:val="000000"/>
                <w:sz w:val="27"/>
                <w:szCs w:val="27"/>
                <w:lang w:eastAsia="ru-RU"/>
              </w:rPr>
              <w:drawing>
                <wp:inline distT="0" distB="0" distL="0" distR="0" wp14:anchorId="52DFD94E" wp14:editId="70A07247">
                  <wp:extent cx="3264539" cy="3781425"/>
                  <wp:effectExtent l="0" t="0" r="0" b="0"/>
                  <wp:docPr id="4" name="Рисунок 4" descr="https://sinref.ru/000_uchebniki/05000sport/003_shkola_alpinizma_zaharov_stepenko_1989/00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inref.ru/000_uchebniki/05000sport/003_shkola_alpinizma_zaharov_stepenko_1989/000/02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64539" cy="3781425"/>
                          </a:xfrm>
                          <a:prstGeom prst="rect">
                            <a:avLst/>
                          </a:prstGeom>
                          <a:noFill/>
                          <a:ln>
                            <a:noFill/>
                          </a:ln>
                        </pic:spPr>
                      </pic:pic>
                    </a:graphicData>
                  </a:graphic>
                </wp:inline>
              </w:drawing>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Рис. 31. Нижняя страховка и организация точки страховки на двойной веревке</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tbl>
            <w:tblPr>
              <w:tblW w:w="0" w:type="auto"/>
              <w:tblCellMar>
                <w:left w:w="0" w:type="dxa"/>
                <w:right w:w="0" w:type="dxa"/>
              </w:tblCellMar>
              <w:tblLook w:val="04A0" w:firstRow="1" w:lastRow="0" w:firstColumn="1" w:lastColumn="0" w:noHBand="0" w:noVBand="1"/>
            </w:tblPr>
            <w:tblGrid>
              <w:gridCol w:w="9355"/>
            </w:tblGrid>
            <w:tr w:rsidR="000D38B5" w:rsidRPr="000D38B5" w:rsidTr="000D38B5">
              <w:tc>
                <w:tcPr>
                  <w:tcW w:w="9571" w:type="dxa"/>
                  <w:tcBorders>
                    <w:top w:val="nil"/>
                    <w:left w:val="nil"/>
                    <w:bottom w:val="nil"/>
                    <w:right w:val="nil"/>
                  </w:tcBorders>
                  <w:tcMar>
                    <w:top w:w="0" w:type="dxa"/>
                    <w:left w:w="108" w:type="dxa"/>
                    <w:bottom w:w="0" w:type="dxa"/>
                    <w:right w:w="108" w:type="dxa"/>
                  </w:tcMar>
                  <w:hideMark/>
                </w:tcPr>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lastRenderedPageBreak/>
                    <w:t> </w:t>
                  </w:r>
                </w:p>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noProof/>
                      <w:sz w:val="24"/>
                      <w:szCs w:val="24"/>
                      <w:lang w:eastAsia="ru-RU"/>
                    </w:rPr>
                    <w:drawing>
                      <wp:inline distT="0" distB="0" distL="0" distR="0" wp14:anchorId="6CFA6165" wp14:editId="5C773E53">
                        <wp:extent cx="4561514" cy="5524500"/>
                        <wp:effectExtent l="0" t="0" r="0" b="0"/>
                        <wp:docPr id="5" name="Рисунок 5" descr="https://sinref.ru/000_uchebniki/05000sport/003_shkola_alpinizma_zaharov_stepenko_1989/00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inref.ru/000_uchebniki/05000sport/003_shkola_alpinizma_zaharov_stepenko_1989/000/03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61514" cy="5524500"/>
                                </a:xfrm>
                                <a:prstGeom prst="rect">
                                  <a:avLst/>
                                </a:prstGeom>
                                <a:noFill/>
                                <a:ln>
                                  <a:noFill/>
                                </a:ln>
                              </pic:spPr>
                            </pic:pic>
                          </a:graphicData>
                        </a:graphic>
                      </wp:inline>
                    </w:drawing>
                  </w:r>
                </w:p>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t> </w:t>
                  </w:r>
                </w:p>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t>При верхней страховке излишняя слабина веревки практически отсутствует, отчего свободное падение и соответствующая ему динамическая нагрузка при удержании минимальны. Удержание осуществляется без протравливания веревки — статическая страховка. В любом случае, когда происходит свободное падение, обязательно компенсирующее протравливание веревки.</w:t>
                  </w:r>
                  <w:r w:rsidRPr="000D38B5">
                    <w:rPr>
                      <w:rFonts w:ascii="Times New Roman" w:eastAsia="Times New Roman" w:hAnsi="Times New Roman" w:cs="Times New Roman"/>
                      <w:sz w:val="24"/>
                      <w:szCs w:val="24"/>
                      <w:lang w:eastAsia="ru-RU"/>
                    </w:rPr>
                    <w:br/>
                  </w:r>
                  <w:r w:rsidRPr="000D38B5">
                    <w:rPr>
                      <w:rFonts w:ascii="Times New Roman" w:eastAsia="Times New Roman" w:hAnsi="Times New Roman" w:cs="Times New Roman"/>
                      <w:sz w:val="24"/>
                      <w:szCs w:val="24"/>
                      <w:lang w:eastAsia="ru-RU"/>
                    </w:rPr>
                    <w:br/>
                    <w:t>Величина динамической нагрузки, воспринимаемой страхующим при срыве партнера по связке или точками закрепления и</w:t>
                  </w:r>
                </w:p>
                <w:p w:rsidR="000D38B5" w:rsidRPr="000D38B5" w:rsidRDefault="000D38B5" w:rsidP="000D38B5">
                  <w:pPr>
                    <w:spacing w:after="0" w:line="240" w:lineRule="auto"/>
                    <w:rPr>
                      <w:rFonts w:ascii="Times New Roman" w:eastAsia="Times New Roman" w:hAnsi="Times New Roman" w:cs="Times New Roman"/>
                      <w:sz w:val="24"/>
                      <w:szCs w:val="24"/>
                      <w:lang w:eastAsia="ru-RU"/>
                    </w:rPr>
                  </w:pPr>
                  <w:r w:rsidRPr="000D38B5">
                    <w:rPr>
                      <w:rFonts w:ascii="Times New Roman" w:eastAsia="Times New Roman" w:hAnsi="Times New Roman" w:cs="Times New Roman"/>
                      <w:sz w:val="24"/>
                      <w:szCs w:val="24"/>
                      <w:lang w:eastAsia="ru-RU"/>
                    </w:rPr>
                    <w:t>соединяющей их веревкой, может колебаться в широких пределах. Она зависит от взаимного расположения партнеров на рельефе, промежуточных точек закрепления (крючья, закладки, ледоруб и пр.), а также от характера поверхностей трения (карабины, выступы и перегибы склона). Вся эта система называется страховочной цепью (рис. 32).</w:t>
                  </w:r>
                </w:p>
              </w:tc>
            </w:tr>
          </w:tbl>
          <w:p w:rsidR="000D38B5" w:rsidRPr="000D38B5" w:rsidRDefault="000D38B5" w:rsidP="000D38B5">
            <w:pPr>
              <w:spacing w:after="0" w:line="240" w:lineRule="auto"/>
              <w:rPr>
                <w:rFonts w:ascii="Times New Roman" w:eastAsia="Times New Roman" w:hAnsi="Times New Roman" w:cs="Times New Roman"/>
                <w:sz w:val="24"/>
                <w:szCs w:val="24"/>
                <w:lang w:eastAsia="ru-RU"/>
              </w:rPr>
            </w:pPr>
          </w:p>
        </w:tc>
      </w:tr>
    </w:tbl>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lastRenderedPageBreak/>
        <w:t> </w:t>
      </w:r>
    </w:p>
    <w:p w:rsidR="000D38B5" w:rsidRPr="000D38B5" w:rsidRDefault="000D38B5" w:rsidP="000D38B5">
      <w:pPr>
        <w:spacing w:after="0" w:line="240" w:lineRule="auto"/>
        <w:rPr>
          <w:rFonts w:ascii="Times New Roman" w:eastAsia="Times New Roman" w:hAnsi="Times New Roman" w:cs="Times New Roman"/>
          <w:color w:val="000000"/>
          <w:sz w:val="27"/>
          <w:szCs w:val="27"/>
          <w:lang w:eastAsia="ru-RU"/>
        </w:rPr>
      </w:pPr>
      <w:r w:rsidRPr="000D38B5">
        <w:rPr>
          <w:rFonts w:ascii="Times New Roman" w:eastAsia="Times New Roman" w:hAnsi="Times New Roman" w:cs="Times New Roman"/>
          <w:color w:val="000000"/>
          <w:sz w:val="27"/>
          <w:szCs w:val="27"/>
          <w:lang w:eastAsia="ru-RU"/>
        </w:rPr>
        <w:t> </w:t>
      </w:r>
    </w:p>
    <w:p w:rsidR="000D38B5" w:rsidRDefault="000D38B5" w:rsidP="000D38B5">
      <w:hyperlink r:id="rId9" w:history="1">
        <w:r w:rsidRPr="003D5C89">
          <w:rPr>
            <w:color w:val="0000FF"/>
            <w:u w:val="single"/>
          </w:rPr>
          <w:t>https://yandex.ru/video/preview/?filmId=5103554590032514587&amp;text=школа%20альпинизма%20начальная%20подготовка&amp;path=wizard&amp;parent-reqid=1586332264474703-83597310960371604300154-production-app-host-man-web-yp-50&amp;redircnt=1586333854.1</w:t>
        </w:r>
      </w:hyperlink>
      <w:r w:rsidRPr="003D5C89">
        <w:t xml:space="preserve">   </w:t>
      </w:r>
    </w:p>
    <w:p w:rsidR="000D38B5" w:rsidRDefault="000D38B5" w:rsidP="000D38B5">
      <w:hyperlink r:id="rId10" w:history="1">
        <w:r w:rsidRPr="000D38B5">
          <w:rPr>
            <w:color w:val="0000FF"/>
            <w:u w:val="single"/>
          </w:rPr>
          <w:t>https://www.youtube.com/watch?time_continue=270&amp;v=tkeoxoWvn9I&amp;feature=emb_title</w:t>
        </w:r>
      </w:hyperlink>
    </w:p>
    <w:p w:rsidR="000D38B5" w:rsidRDefault="000D38B5" w:rsidP="000D38B5">
      <w:r>
        <w:t>Выполнить задание по приложению.</w:t>
      </w:r>
    </w:p>
    <w:p w:rsidR="000D38B5" w:rsidRDefault="000D38B5" w:rsidP="000D38B5">
      <w:pPr>
        <w:rPr>
          <w:rFonts w:ascii="Times New Roman" w:hAnsi="Times New Roman"/>
          <w:sz w:val="28"/>
          <w:szCs w:val="28"/>
        </w:rPr>
      </w:pPr>
      <w:r>
        <w:rPr>
          <w:rFonts w:ascii="Times New Roman" w:hAnsi="Times New Roman"/>
          <w:sz w:val="28"/>
          <w:szCs w:val="28"/>
        </w:rPr>
        <w:t xml:space="preserve">Вопросы на </w:t>
      </w:r>
      <w:r w:rsidRPr="00BB2D71">
        <w:rPr>
          <w:rFonts w:ascii="Times New Roman" w:hAnsi="Times New Roman"/>
          <w:sz w:val="28"/>
          <w:szCs w:val="28"/>
        </w:rPr>
        <w:t xml:space="preserve">эл. почту: </w:t>
      </w:r>
      <w:hyperlink r:id="rId11" w:history="1">
        <w:r w:rsidRPr="0045373B">
          <w:rPr>
            <w:rStyle w:val="a3"/>
            <w:rFonts w:ascii="Times New Roman" w:hAnsi="Times New Roman"/>
            <w:sz w:val="28"/>
            <w:szCs w:val="28"/>
            <w:lang w:val="en-US"/>
          </w:rPr>
          <w:t>mansarda</w:t>
        </w:r>
        <w:r w:rsidRPr="0045373B">
          <w:rPr>
            <w:rStyle w:val="a3"/>
            <w:rFonts w:ascii="Times New Roman" w:hAnsi="Times New Roman"/>
            <w:sz w:val="28"/>
            <w:szCs w:val="28"/>
          </w:rPr>
          <w:t>.</w:t>
        </w:r>
        <w:r w:rsidRPr="0045373B">
          <w:rPr>
            <w:rStyle w:val="a3"/>
            <w:rFonts w:ascii="Times New Roman" w:hAnsi="Times New Roman"/>
            <w:sz w:val="28"/>
            <w:szCs w:val="28"/>
            <w:lang w:val="en-US"/>
          </w:rPr>
          <w:t>air</w:t>
        </w:r>
        <w:r w:rsidRPr="0045373B">
          <w:rPr>
            <w:rStyle w:val="a3"/>
            <w:rFonts w:ascii="Times New Roman" w:hAnsi="Times New Roman"/>
            <w:sz w:val="28"/>
            <w:szCs w:val="28"/>
          </w:rPr>
          <w:t>@</w:t>
        </w:r>
        <w:r w:rsidRPr="0045373B">
          <w:rPr>
            <w:rStyle w:val="a3"/>
            <w:rFonts w:ascii="Times New Roman" w:hAnsi="Times New Roman"/>
            <w:sz w:val="28"/>
            <w:szCs w:val="28"/>
            <w:lang w:val="en-US"/>
          </w:rPr>
          <w:t>rambler</w:t>
        </w:r>
        <w:r w:rsidRPr="0045373B">
          <w:rPr>
            <w:rStyle w:val="a3"/>
            <w:rFonts w:ascii="Times New Roman" w:hAnsi="Times New Roman"/>
            <w:sz w:val="28"/>
            <w:szCs w:val="28"/>
          </w:rPr>
          <w:t>.</w:t>
        </w:r>
        <w:proofErr w:type="spellStart"/>
        <w:r w:rsidRPr="0045373B">
          <w:rPr>
            <w:rStyle w:val="a3"/>
            <w:rFonts w:ascii="Times New Roman" w:hAnsi="Times New Roman"/>
            <w:sz w:val="28"/>
            <w:szCs w:val="28"/>
            <w:lang w:val="en-US"/>
          </w:rPr>
          <w:t>ru</w:t>
        </w:r>
        <w:proofErr w:type="spellEnd"/>
      </w:hyperlink>
    </w:p>
    <w:sectPr w:rsidR="000D38B5" w:rsidSect="003D5C89">
      <w:pgSz w:w="11906" w:h="16838"/>
      <w:pgMar w:top="568" w:right="850" w:bottom="56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295"/>
    <w:rsid w:val="000D38B5"/>
    <w:rsid w:val="003221C7"/>
    <w:rsid w:val="003D5C89"/>
    <w:rsid w:val="007B6295"/>
    <w:rsid w:val="007E49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C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5C89"/>
    <w:rPr>
      <w:color w:val="0000FF" w:themeColor="hyperlink"/>
      <w:u w:val="single"/>
    </w:rPr>
  </w:style>
  <w:style w:type="paragraph" w:styleId="a4">
    <w:name w:val="Balloon Text"/>
    <w:basedOn w:val="a"/>
    <w:link w:val="a5"/>
    <w:uiPriority w:val="99"/>
    <w:semiHidden/>
    <w:unhideWhenUsed/>
    <w:rsid w:val="000D38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38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5C8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D5C89"/>
    <w:rPr>
      <w:color w:val="0000FF" w:themeColor="hyperlink"/>
      <w:u w:val="single"/>
    </w:rPr>
  </w:style>
  <w:style w:type="paragraph" w:styleId="a4">
    <w:name w:val="Balloon Text"/>
    <w:basedOn w:val="a"/>
    <w:link w:val="a5"/>
    <w:uiPriority w:val="99"/>
    <w:semiHidden/>
    <w:unhideWhenUsed/>
    <w:rsid w:val="000D38B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38B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128222">
      <w:bodyDiv w:val="1"/>
      <w:marLeft w:val="0"/>
      <w:marRight w:val="0"/>
      <w:marTop w:val="0"/>
      <w:marBottom w:val="0"/>
      <w:divBdr>
        <w:top w:val="none" w:sz="0" w:space="0" w:color="auto"/>
        <w:left w:val="none" w:sz="0" w:space="0" w:color="auto"/>
        <w:bottom w:val="none" w:sz="0" w:space="0" w:color="auto"/>
        <w:right w:val="none" w:sz="0" w:space="0" w:color="auto"/>
      </w:divBdr>
    </w:div>
    <w:div w:id="119403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hyperlink" Target="mailto:mansarda.air@rambler.ru" TargetMode="External"/><Relationship Id="rId5" Type="http://schemas.openxmlformats.org/officeDocument/2006/relationships/image" Target="media/image1.jpeg"/><Relationship Id="rId10" Type="http://schemas.openxmlformats.org/officeDocument/2006/relationships/hyperlink" Target="https://www.youtube.com/watch?time_continue=270&amp;v=tkeoxoWvn9I&amp;feature=emb_title" TargetMode="External"/><Relationship Id="rId4" Type="http://schemas.openxmlformats.org/officeDocument/2006/relationships/webSettings" Target="webSettings.xml"/><Relationship Id="rId9" Type="http://schemas.openxmlformats.org/officeDocument/2006/relationships/hyperlink" Target="https://yandex.ru/video/preview/?filmId=5103554590032514587&amp;text=&#1096;&#1082;&#1086;&#1083;&#1072;%20&#1072;&#1083;&#1100;&#1087;&#1080;&#1085;&#1080;&#1079;&#1084;&#1072;%20&#1085;&#1072;&#1095;&#1072;&#1083;&#1100;&#1085;&#1072;&#1103;%20&#1087;&#1086;&#1076;&#1075;&#1086;&#1090;&#1086;&#1074;&#1082;&#1072;&amp;path=wizard&amp;parent-reqid=1586332264474703-83597310960371604300154-production-app-host-man-web-yp-50&amp;redircnt=158633385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404</Words>
  <Characters>2306</Characters>
  <Application>Microsoft Office Word</Application>
  <DocSecurity>0</DocSecurity>
  <Lines>19</Lines>
  <Paragraphs>5</Paragraphs>
  <ScaleCrop>false</ScaleCrop>
  <Company>SPecialiST RePack</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3</cp:revision>
  <dcterms:created xsi:type="dcterms:W3CDTF">2020-04-08T09:16:00Z</dcterms:created>
  <dcterms:modified xsi:type="dcterms:W3CDTF">2020-04-08T10:09:00Z</dcterms:modified>
</cp:coreProperties>
</file>